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839" w:rsidRDefault="006B0839" w:rsidP="006B0839">
      <w:pPr>
        <w:spacing w:after="0"/>
        <w:rPr>
          <w:rFonts w:asciiTheme="minorHAnsi" w:hAnsiTheme="minorHAnsi" w:cs="Arial"/>
          <w:b/>
          <w:sz w:val="24"/>
          <w:szCs w:val="24"/>
        </w:rPr>
      </w:pPr>
      <w:r>
        <w:rPr>
          <w:rFonts w:asciiTheme="minorHAnsi" w:hAnsiTheme="minorHAnsi" w:cs="Arial"/>
          <w:b/>
          <w:sz w:val="24"/>
          <w:szCs w:val="24"/>
        </w:rPr>
        <w:t>8.3</w:t>
      </w:r>
      <w:r>
        <w:rPr>
          <w:rFonts w:asciiTheme="minorHAnsi" w:hAnsiTheme="minorHAnsi" w:cs="Arial"/>
          <w:b/>
          <w:sz w:val="24"/>
          <w:szCs w:val="24"/>
        </w:rPr>
        <w:tab/>
        <w:t>Planning</w:t>
      </w:r>
    </w:p>
    <w:p w:rsidR="006B0839" w:rsidRDefault="006B0839" w:rsidP="006B0839">
      <w:pPr>
        <w:rPr>
          <w:rFonts w:asciiTheme="minorHAnsi" w:hAnsiTheme="minorHAnsi" w:cs="Arial"/>
          <w:sz w:val="24"/>
          <w:szCs w:val="24"/>
        </w:rPr>
      </w:pPr>
      <w:r w:rsidRPr="00FC4103">
        <w:rPr>
          <w:rFonts w:asciiTheme="minorHAnsi" w:hAnsiTheme="minorHAnsi" w:cs="Arial"/>
          <w:sz w:val="24"/>
          <w:szCs w:val="24"/>
        </w:rPr>
        <w:t>Performance against Planning targets and standard</w:t>
      </w:r>
      <w:r>
        <w:rPr>
          <w:rFonts w:asciiTheme="minorHAnsi" w:hAnsiTheme="minorHAnsi" w:cs="Arial"/>
          <w:sz w:val="24"/>
          <w:szCs w:val="24"/>
        </w:rPr>
        <w:t xml:space="preserve"> to be achieved for 2021-22</w:t>
      </w:r>
      <w:r w:rsidRPr="00FC4103">
        <w:rPr>
          <w:rFonts w:asciiTheme="minorHAnsi" w:hAnsiTheme="minorHAnsi" w:cs="Arial"/>
          <w:sz w:val="24"/>
          <w:szCs w:val="24"/>
        </w:rPr>
        <w:t xml:space="preserve"> are:</w:t>
      </w:r>
    </w:p>
    <w:tbl>
      <w:tblPr>
        <w:tblW w:w="957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shd w:val="clear" w:color="auto" w:fill="DEEAF6" w:themeFill="accent1" w:themeFillTint="33"/>
        <w:tblLook w:val="04A0" w:firstRow="1" w:lastRow="0" w:firstColumn="1" w:lastColumn="0" w:noHBand="0" w:noVBand="1"/>
      </w:tblPr>
      <w:tblGrid>
        <w:gridCol w:w="3056"/>
        <w:gridCol w:w="1205"/>
        <w:gridCol w:w="1113"/>
        <w:gridCol w:w="1113"/>
        <w:gridCol w:w="3083"/>
      </w:tblGrid>
      <w:tr w:rsidR="006B0839" w:rsidRPr="00FC4103" w:rsidTr="0066442B">
        <w:trPr>
          <w:trHeight w:val="331"/>
          <w:tblHeader/>
        </w:trPr>
        <w:tc>
          <w:tcPr>
            <w:tcW w:w="3056" w:type="dxa"/>
            <w:tcBorders>
              <w:top w:val="single" w:sz="4" w:space="0" w:color="9CC2E5"/>
              <w:left w:val="single" w:sz="4" w:space="0" w:color="9CC2E5"/>
              <w:bottom w:val="single" w:sz="4" w:space="0" w:color="9CC2E5"/>
              <w:right w:val="single" w:sz="4" w:space="0" w:color="9CC2E5"/>
            </w:tcBorders>
            <w:shd w:val="clear" w:color="auto" w:fill="DEEAF6" w:themeFill="accent1" w:themeFillTint="33"/>
          </w:tcPr>
          <w:p w:rsidR="006B0839" w:rsidRPr="00FC4103" w:rsidRDefault="006B0839" w:rsidP="0066442B">
            <w:pPr>
              <w:rPr>
                <w:rFonts w:asciiTheme="minorHAnsi" w:hAnsiTheme="minorHAnsi" w:cs="Arial"/>
                <w:b/>
                <w:sz w:val="24"/>
              </w:rPr>
            </w:pPr>
            <w:r w:rsidRPr="00FC4103">
              <w:rPr>
                <w:rFonts w:asciiTheme="minorHAnsi" w:hAnsiTheme="minorHAnsi" w:cs="Arial"/>
                <w:b/>
                <w:sz w:val="24"/>
              </w:rPr>
              <w:t>Measure of Success</w:t>
            </w:r>
          </w:p>
        </w:tc>
        <w:tc>
          <w:tcPr>
            <w:tcW w:w="1205" w:type="dxa"/>
            <w:tcBorders>
              <w:top w:val="single" w:sz="4" w:space="0" w:color="9CC2E5"/>
              <w:left w:val="single" w:sz="4" w:space="0" w:color="9CC2E5"/>
              <w:bottom w:val="single" w:sz="4" w:space="0" w:color="9CC2E5"/>
              <w:right w:val="single" w:sz="4" w:space="0" w:color="9CC2E5"/>
            </w:tcBorders>
            <w:shd w:val="clear" w:color="auto" w:fill="DEEAF6" w:themeFill="accent1" w:themeFillTint="33"/>
          </w:tcPr>
          <w:p w:rsidR="006B0839" w:rsidRPr="00FC4103" w:rsidRDefault="006B0839" w:rsidP="0066442B">
            <w:pPr>
              <w:rPr>
                <w:rFonts w:asciiTheme="minorHAnsi" w:hAnsiTheme="minorHAnsi" w:cs="Arial"/>
                <w:b/>
                <w:sz w:val="24"/>
              </w:rPr>
            </w:pPr>
            <w:r w:rsidRPr="00FC4103">
              <w:rPr>
                <w:rFonts w:asciiTheme="minorHAnsi" w:hAnsiTheme="minorHAnsi" w:cs="Arial"/>
                <w:b/>
                <w:sz w:val="24"/>
              </w:rPr>
              <w:t>2018-19</w:t>
            </w:r>
          </w:p>
        </w:tc>
        <w:tc>
          <w:tcPr>
            <w:tcW w:w="1113" w:type="dxa"/>
            <w:tcBorders>
              <w:top w:val="single" w:sz="4" w:space="0" w:color="9CC2E5"/>
              <w:left w:val="single" w:sz="4" w:space="0" w:color="9CC2E5"/>
              <w:bottom w:val="single" w:sz="4" w:space="0" w:color="9CC2E5"/>
              <w:right w:val="single" w:sz="4" w:space="0" w:color="9CC2E5"/>
            </w:tcBorders>
            <w:shd w:val="clear" w:color="auto" w:fill="DEEAF6" w:themeFill="accent1" w:themeFillTint="33"/>
          </w:tcPr>
          <w:p w:rsidR="006B0839" w:rsidRPr="00FC4103" w:rsidRDefault="006B0839" w:rsidP="0066442B">
            <w:pPr>
              <w:rPr>
                <w:rFonts w:asciiTheme="minorHAnsi" w:hAnsiTheme="minorHAnsi" w:cs="Arial"/>
                <w:b/>
                <w:sz w:val="24"/>
              </w:rPr>
            </w:pPr>
            <w:r>
              <w:rPr>
                <w:rFonts w:asciiTheme="minorHAnsi" w:hAnsiTheme="minorHAnsi" w:cs="Arial"/>
                <w:b/>
                <w:sz w:val="24"/>
              </w:rPr>
              <w:t>2019-20</w:t>
            </w:r>
          </w:p>
        </w:tc>
        <w:tc>
          <w:tcPr>
            <w:tcW w:w="1113" w:type="dxa"/>
            <w:tcBorders>
              <w:top w:val="single" w:sz="4" w:space="0" w:color="9CC2E5"/>
              <w:left w:val="single" w:sz="4" w:space="0" w:color="9CC2E5"/>
              <w:bottom w:val="single" w:sz="4" w:space="0" w:color="9CC2E5"/>
              <w:right w:val="single" w:sz="4" w:space="0" w:color="9CC2E5"/>
            </w:tcBorders>
            <w:shd w:val="clear" w:color="auto" w:fill="DEEAF6" w:themeFill="accent1" w:themeFillTint="33"/>
          </w:tcPr>
          <w:p w:rsidR="006B0839" w:rsidRPr="00FC4103" w:rsidRDefault="006B0839" w:rsidP="0066442B">
            <w:pPr>
              <w:rPr>
                <w:rFonts w:asciiTheme="minorHAnsi" w:hAnsiTheme="minorHAnsi" w:cs="Arial"/>
                <w:b/>
                <w:sz w:val="24"/>
              </w:rPr>
            </w:pPr>
            <w:r>
              <w:rPr>
                <w:rFonts w:asciiTheme="minorHAnsi" w:hAnsiTheme="minorHAnsi" w:cs="Arial"/>
                <w:b/>
                <w:sz w:val="24"/>
              </w:rPr>
              <w:t>2020-21</w:t>
            </w:r>
          </w:p>
        </w:tc>
        <w:tc>
          <w:tcPr>
            <w:tcW w:w="3083" w:type="dxa"/>
            <w:tcBorders>
              <w:top w:val="single" w:sz="4" w:space="0" w:color="9CC2E5"/>
              <w:left w:val="single" w:sz="4" w:space="0" w:color="9CC2E5"/>
              <w:bottom w:val="single" w:sz="4" w:space="0" w:color="9CC2E5"/>
              <w:right w:val="single" w:sz="4" w:space="0" w:color="9CC2E5"/>
            </w:tcBorders>
            <w:shd w:val="clear" w:color="auto" w:fill="DEEAF6" w:themeFill="accent1" w:themeFillTint="33"/>
          </w:tcPr>
          <w:p w:rsidR="006B0839" w:rsidRPr="00FC4103" w:rsidRDefault="006B0839" w:rsidP="0066442B">
            <w:pPr>
              <w:rPr>
                <w:rFonts w:asciiTheme="minorHAnsi" w:hAnsiTheme="minorHAnsi" w:cs="Arial"/>
                <w:b/>
                <w:sz w:val="24"/>
              </w:rPr>
            </w:pPr>
            <w:r>
              <w:rPr>
                <w:rFonts w:asciiTheme="minorHAnsi" w:hAnsiTheme="minorHAnsi" w:cs="Arial"/>
                <w:b/>
                <w:sz w:val="24"/>
              </w:rPr>
              <w:t>Annual Target</w:t>
            </w:r>
          </w:p>
        </w:tc>
      </w:tr>
      <w:tr w:rsidR="006B0839" w:rsidRPr="00FC4103" w:rsidTr="0066442B">
        <w:trPr>
          <w:trHeight w:val="864"/>
        </w:trPr>
        <w:tc>
          <w:tcPr>
            <w:tcW w:w="3056" w:type="dxa"/>
            <w:shd w:val="clear" w:color="auto" w:fill="DEEAF6" w:themeFill="accent1" w:themeFillTint="33"/>
          </w:tcPr>
          <w:p w:rsidR="006B0839" w:rsidRDefault="006B0839" w:rsidP="0066442B">
            <w:pPr>
              <w:rPr>
                <w:rFonts w:asciiTheme="minorHAnsi" w:hAnsiTheme="minorHAnsi" w:cs="Arial"/>
              </w:rPr>
            </w:pPr>
            <w:r w:rsidRPr="00FC4103">
              <w:rPr>
                <w:rFonts w:asciiTheme="minorHAnsi" w:hAnsiTheme="minorHAnsi" w:cs="Arial"/>
              </w:rPr>
              <w:t xml:space="preserve">The average processing time </w:t>
            </w:r>
            <w:r>
              <w:rPr>
                <w:rFonts w:asciiTheme="minorHAnsi" w:hAnsiTheme="minorHAnsi" w:cs="Arial"/>
              </w:rPr>
              <w:t>of major planning applications.</w:t>
            </w:r>
          </w:p>
          <w:p w:rsidR="006B0839" w:rsidRPr="005A036C" w:rsidRDefault="006B0839" w:rsidP="0066442B">
            <w:pPr>
              <w:rPr>
                <w:rFonts w:asciiTheme="minorHAnsi" w:hAnsiTheme="minorHAnsi" w:cs="Arial"/>
                <w:i/>
                <w:sz w:val="20"/>
                <w:szCs w:val="20"/>
              </w:rPr>
            </w:pPr>
            <w:r w:rsidRPr="005A036C">
              <w:rPr>
                <w:rFonts w:asciiTheme="minorHAnsi" w:hAnsiTheme="minorHAnsi" w:cs="Arial"/>
                <w:i/>
                <w:sz w:val="20"/>
                <w:szCs w:val="20"/>
              </w:rPr>
              <w:t>[An application in the category of major development within the meaning of the Planning (Development Management) Regulati</w:t>
            </w:r>
            <w:r>
              <w:rPr>
                <w:rFonts w:asciiTheme="minorHAnsi" w:hAnsiTheme="minorHAnsi" w:cs="Arial"/>
                <w:i/>
                <w:sz w:val="20"/>
                <w:szCs w:val="20"/>
              </w:rPr>
              <w:t>ons (Northern Ireland) 2015(a)]</w:t>
            </w:r>
          </w:p>
        </w:tc>
        <w:tc>
          <w:tcPr>
            <w:tcW w:w="1205" w:type="dxa"/>
            <w:shd w:val="clear" w:color="auto" w:fill="DEEAF6" w:themeFill="accent1" w:themeFillTint="33"/>
          </w:tcPr>
          <w:p w:rsidR="006B0839" w:rsidRPr="00FC4103" w:rsidRDefault="006B0839" w:rsidP="0066442B">
            <w:pPr>
              <w:rPr>
                <w:rFonts w:asciiTheme="minorHAnsi" w:hAnsiTheme="minorHAnsi" w:cs="Arial"/>
                <w:sz w:val="24"/>
              </w:rPr>
            </w:pPr>
            <w:r>
              <w:rPr>
                <w:rFonts w:asciiTheme="minorHAnsi" w:hAnsiTheme="minorHAnsi" w:cs="Arial"/>
                <w:sz w:val="24"/>
              </w:rPr>
              <w:t>78 weeks</w:t>
            </w:r>
          </w:p>
        </w:tc>
        <w:tc>
          <w:tcPr>
            <w:tcW w:w="1113" w:type="dxa"/>
            <w:shd w:val="clear" w:color="auto" w:fill="DEEAF6" w:themeFill="accent1" w:themeFillTint="33"/>
          </w:tcPr>
          <w:p w:rsidR="006B0839" w:rsidRPr="006169FF" w:rsidRDefault="006B0839" w:rsidP="0066442B">
            <w:pPr>
              <w:rPr>
                <w:rFonts w:asciiTheme="minorHAnsi" w:hAnsiTheme="minorHAnsi" w:cs="Arial"/>
              </w:rPr>
            </w:pPr>
            <w:r>
              <w:rPr>
                <w:rFonts w:asciiTheme="minorHAnsi" w:hAnsiTheme="minorHAnsi" w:cs="Arial"/>
              </w:rPr>
              <w:t>55.2 weeks</w:t>
            </w:r>
          </w:p>
        </w:tc>
        <w:tc>
          <w:tcPr>
            <w:tcW w:w="1113" w:type="dxa"/>
            <w:shd w:val="clear" w:color="auto" w:fill="DEEAF6" w:themeFill="accent1" w:themeFillTint="33"/>
          </w:tcPr>
          <w:p w:rsidR="006B0839" w:rsidRPr="006169FF" w:rsidRDefault="006B0839" w:rsidP="0066442B">
            <w:pPr>
              <w:rPr>
                <w:rFonts w:asciiTheme="minorHAnsi" w:hAnsiTheme="minorHAnsi" w:cs="Arial"/>
              </w:rPr>
            </w:pPr>
            <w:r>
              <w:rPr>
                <w:rFonts w:asciiTheme="minorHAnsi" w:hAnsiTheme="minorHAnsi" w:cs="Arial"/>
              </w:rPr>
              <w:t xml:space="preserve">TBC </w:t>
            </w:r>
          </w:p>
        </w:tc>
        <w:tc>
          <w:tcPr>
            <w:tcW w:w="3083" w:type="dxa"/>
            <w:shd w:val="clear" w:color="auto" w:fill="DEEAF6" w:themeFill="accent1" w:themeFillTint="33"/>
          </w:tcPr>
          <w:p w:rsidR="006B0839" w:rsidRPr="00FC4103" w:rsidRDefault="006B0839" w:rsidP="0066442B">
            <w:pPr>
              <w:rPr>
                <w:rFonts w:asciiTheme="minorHAnsi" w:hAnsiTheme="minorHAnsi" w:cs="Arial"/>
              </w:rPr>
            </w:pPr>
            <w:r w:rsidRPr="00FC4103">
              <w:rPr>
                <w:rFonts w:asciiTheme="minorHAnsi" w:hAnsiTheme="minorHAnsi" w:cs="Arial"/>
              </w:rPr>
              <w:t>Major applications processed from date valid to decision or withdrawal within an average of 30 weeks.</w:t>
            </w:r>
          </w:p>
        </w:tc>
      </w:tr>
      <w:tr w:rsidR="006B0839" w:rsidRPr="00FC4103" w:rsidTr="0066442B">
        <w:trPr>
          <w:trHeight w:val="864"/>
        </w:trPr>
        <w:tc>
          <w:tcPr>
            <w:tcW w:w="3056" w:type="dxa"/>
            <w:shd w:val="clear" w:color="auto" w:fill="DEEAF6" w:themeFill="accent1" w:themeFillTint="33"/>
          </w:tcPr>
          <w:p w:rsidR="006B0839" w:rsidRDefault="006B0839" w:rsidP="0066442B">
            <w:pPr>
              <w:rPr>
                <w:rFonts w:asciiTheme="minorHAnsi" w:hAnsiTheme="minorHAnsi" w:cs="Arial"/>
              </w:rPr>
            </w:pPr>
            <w:r w:rsidRPr="00FC4103">
              <w:rPr>
                <w:rFonts w:asciiTheme="minorHAnsi" w:hAnsiTheme="minorHAnsi" w:cs="Arial"/>
              </w:rPr>
              <w:t>The average processing time of local planning applicati</w:t>
            </w:r>
            <w:r>
              <w:rPr>
                <w:rFonts w:asciiTheme="minorHAnsi" w:hAnsiTheme="minorHAnsi" w:cs="Arial"/>
              </w:rPr>
              <w:t>ons.</w:t>
            </w:r>
          </w:p>
          <w:p w:rsidR="006B0839" w:rsidRPr="005A036C" w:rsidRDefault="006B0839" w:rsidP="0066442B">
            <w:pPr>
              <w:rPr>
                <w:rFonts w:asciiTheme="minorHAnsi" w:hAnsiTheme="minorHAnsi" w:cs="Arial"/>
                <w:i/>
                <w:sz w:val="20"/>
                <w:szCs w:val="20"/>
              </w:rPr>
            </w:pPr>
            <w:r w:rsidRPr="005A036C">
              <w:rPr>
                <w:rFonts w:asciiTheme="minorHAnsi" w:hAnsiTheme="minorHAnsi" w:cs="Arial"/>
                <w:i/>
                <w:sz w:val="20"/>
                <w:szCs w:val="20"/>
              </w:rPr>
              <w:t>[Local applications means an application in the category of local development within the meaning of the Planning (Development Management) Regulations (Northern Ireland) 2015, and any other applications for approval or consent under the Planning Act (Northern Ireland) 2011 (or any orders or regulations made under that Act)]</w:t>
            </w:r>
          </w:p>
        </w:tc>
        <w:tc>
          <w:tcPr>
            <w:tcW w:w="1205" w:type="dxa"/>
            <w:shd w:val="clear" w:color="auto" w:fill="DEEAF6" w:themeFill="accent1" w:themeFillTint="33"/>
          </w:tcPr>
          <w:p w:rsidR="006B0839" w:rsidRPr="00FC4103" w:rsidRDefault="006B0839" w:rsidP="0066442B">
            <w:pPr>
              <w:rPr>
                <w:rFonts w:asciiTheme="minorHAnsi" w:hAnsiTheme="minorHAnsi" w:cs="Arial"/>
                <w:sz w:val="24"/>
              </w:rPr>
            </w:pPr>
            <w:r>
              <w:rPr>
                <w:rFonts w:asciiTheme="minorHAnsi" w:hAnsiTheme="minorHAnsi" w:cs="Arial"/>
                <w:sz w:val="24"/>
              </w:rPr>
              <w:t>17.7 weeks</w:t>
            </w:r>
          </w:p>
        </w:tc>
        <w:tc>
          <w:tcPr>
            <w:tcW w:w="1113" w:type="dxa"/>
            <w:shd w:val="clear" w:color="auto" w:fill="DEEAF6" w:themeFill="accent1" w:themeFillTint="33"/>
          </w:tcPr>
          <w:p w:rsidR="006B0839" w:rsidRPr="006169FF" w:rsidRDefault="006B0839" w:rsidP="0066442B">
            <w:pPr>
              <w:rPr>
                <w:rFonts w:asciiTheme="minorHAnsi" w:hAnsiTheme="minorHAnsi" w:cs="Arial"/>
              </w:rPr>
            </w:pPr>
            <w:r>
              <w:rPr>
                <w:rFonts w:asciiTheme="minorHAnsi" w:hAnsiTheme="minorHAnsi" w:cs="Arial"/>
              </w:rPr>
              <w:t>16.6 weeks</w:t>
            </w:r>
          </w:p>
        </w:tc>
        <w:tc>
          <w:tcPr>
            <w:tcW w:w="1113" w:type="dxa"/>
            <w:shd w:val="clear" w:color="auto" w:fill="DEEAF6" w:themeFill="accent1" w:themeFillTint="33"/>
          </w:tcPr>
          <w:p w:rsidR="006B0839" w:rsidRPr="006169FF" w:rsidRDefault="006B0839" w:rsidP="0066442B">
            <w:pPr>
              <w:rPr>
                <w:rFonts w:asciiTheme="minorHAnsi" w:hAnsiTheme="minorHAnsi" w:cs="Arial"/>
              </w:rPr>
            </w:pPr>
            <w:r>
              <w:rPr>
                <w:rFonts w:asciiTheme="minorHAnsi" w:hAnsiTheme="minorHAnsi" w:cs="Arial"/>
              </w:rPr>
              <w:t xml:space="preserve">TBC </w:t>
            </w:r>
          </w:p>
        </w:tc>
        <w:tc>
          <w:tcPr>
            <w:tcW w:w="3083" w:type="dxa"/>
            <w:shd w:val="clear" w:color="auto" w:fill="DEEAF6" w:themeFill="accent1" w:themeFillTint="33"/>
          </w:tcPr>
          <w:p w:rsidR="006B0839" w:rsidRPr="00FC4103" w:rsidRDefault="006B0839" w:rsidP="0066442B">
            <w:pPr>
              <w:rPr>
                <w:rFonts w:asciiTheme="minorHAnsi" w:hAnsiTheme="minorHAnsi" w:cs="Arial"/>
              </w:rPr>
            </w:pPr>
            <w:r w:rsidRPr="00FC4103">
              <w:rPr>
                <w:rFonts w:asciiTheme="minorHAnsi" w:hAnsiTheme="minorHAnsi" w:cs="Arial"/>
              </w:rPr>
              <w:t>Local applications processed from date valid to decision or withdrawal within an average of 15 weeks.</w:t>
            </w:r>
          </w:p>
        </w:tc>
      </w:tr>
      <w:tr w:rsidR="006B0839" w:rsidRPr="00FC4103" w:rsidTr="0066442B">
        <w:trPr>
          <w:trHeight w:val="864"/>
        </w:trPr>
        <w:tc>
          <w:tcPr>
            <w:tcW w:w="3056" w:type="dxa"/>
            <w:shd w:val="clear" w:color="auto" w:fill="DEEAF6" w:themeFill="accent1" w:themeFillTint="33"/>
          </w:tcPr>
          <w:p w:rsidR="006B0839" w:rsidRDefault="006B0839" w:rsidP="0066442B">
            <w:pPr>
              <w:rPr>
                <w:rFonts w:asciiTheme="minorHAnsi" w:hAnsiTheme="minorHAnsi" w:cs="Arial"/>
              </w:rPr>
            </w:pPr>
            <w:r w:rsidRPr="00FC4103">
              <w:rPr>
                <w:rFonts w:asciiTheme="minorHAnsi" w:hAnsiTheme="minorHAnsi" w:cs="Arial"/>
              </w:rPr>
              <w:t>The percentage of enforcement c</w:t>
            </w:r>
            <w:r>
              <w:rPr>
                <w:rFonts w:asciiTheme="minorHAnsi" w:hAnsiTheme="minorHAnsi" w:cs="Arial"/>
              </w:rPr>
              <w:t>ases processed within 39 weeks.</w:t>
            </w:r>
          </w:p>
          <w:p w:rsidR="006B0839" w:rsidRPr="005A036C" w:rsidRDefault="006B0839" w:rsidP="0066442B">
            <w:pPr>
              <w:rPr>
                <w:rFonts w:asciiTheme="minorHAnsi" w:hAnsiTheme="minorHAnsi" w:cs="Arial"/>
                <w:i/>
                <w:sz w:val="20"/>
                <w:szCs w:val="20"/>
              </w:rPr>
            </w:pPr>
            <w:r w:rsidRPr="005A036C">
              <w:rPr>
                <w:rFonts w:asciiTheme="minorHAnsi" w:hAnsiTheme="minorHAnsi" w:cs="Arial"/>
                <w:i/>
                <w:sz w:val="20"/>
                <w:szCs w:val="20"/>
              </w:rPr>
              <w:t>[Enforcement cases are investigations into alleged breaches of planning control under Part 5 of the Planning Act (Northern Ireland) 2011 (or under any orders or regulati</w:t>
            </w:r>
            <w:r>
              <w:rPr>
                <w:rFonts w:asciiTheme="minorHAnsi" w:hAnsiTheme="minorHAnsi" w:cs="Arial"/>
                <w:i/>
                <w:sz w:val="20"/>
                <w:szCs w:val="20"/>
              </w:rPr>
              <w:t>ons made under that Act). (b).]</w:t>
            </w:r>
          </w:p>
        </w:tc>
        <w:tc>
          <w:tcPr>
            <w:tcW w:w="1205" w:type="dxa"/>
            <w:shd w:val="clear" w:color="auto" w:fill="DEEAF6" w:themeFill="accent1" w:themeFillTint="33"/>
          </w:tcPr>
          <w:p w:rsidR="006B0839" w:rsidRPr="00FC4103" w:rsidRDefault="006B0839" w:rsidP="0066442B">
            <w:pPr>
              <w:rPr>
                <w:rFonts w:asciiTheme="minorHAnsi" w:hAnsiTheme="minorHAnsi" w:cs="Arial"/>
                <w:sz w:val="24"/>
              </w:rPr>
            </w:pPr>
            <w:r>
              <w:rPr>
                <w:rFonts w:asciiTheme="minorHAnsi" w:hAnsiTheme="minorHAnsi" w:cs="Arial"/>
                <w:sz w:val="24"/>
              </w:rPr>
              <w:t>84%</w:t>
            </w:r>
          </w:p>
        </w:tc>
        <w:tc>
          <w:tcPr>
            <w:tcW w:w="1113" w:type="dxa"/>
            <w:shd w:val="clear" w:color="auto" w:fill="DEEAF6" w:themeFill="accent1" w:themeFillTint="33"/>
          </w:tcPr>
          <w:p w:rsidR="006B0839" w:rsidRPr="00FC4103" w:rsidRDefault="006B0839" w:rsidP="0066442B">
            <w:pPr>
              <w:rPr>
                <w:rFonts w:asciiTheme="minorHAnsi" w:hAnsiTheme="minorHAnsi" w:cs="Arial"/>
                <w:sz w:val="24"/>
              </w:rPr>
            </w:pPr>
            <w:r>
              <w:rPr>
                <w:rFonts w:asciiTheme="minorHAnsi" w:hAnsiTheme="minorHAnsi" w:cs="Arial"/>
                <w:sz w:val="24"/>
              </w:rPr>
              <w:t>84%</w:t>
            </w:r>
          </w:p>
        </w:tc>
        <w:tc>
          <w:tcPr>
            <w:tcW w:w="1113" w:type="dxa"/>
            <w:shd w:val="clear" w:color="auto" w:fill="DEEAF6" w:themeFill="accent1" w:themeFillTint="33"/>
          </w:tcPr>
          <w:p w:rsidR="006B0839" w:rsidRPr="006169FF" w:rsidRDefault="006B0839" w:rsidP="0066442B">
            <w:pPr>
              <w:rPr>
                <w:rFonts w:asciiTheme="minorHAnsi" w:hAnsiTheme="minorHAnsi" w:cs="Arial"/>
              </w:rPr>
            </w:pPr>
            <w:r>
              <w:rPr>
                <w:rFonts w:asciiTheme="minorHAnsi" w:hAnsiTheme="minorHAnsi" w:cs="Arial"/>
              </w:rPr>
              <w:t xml:space="preserve">TBC </w:t>
            </w:r>
          </w:p>
        </w:tc>
        <w:tc>
          <w:tcPr>
            <w:tcW w:w="3083" w:type="dxa"/>
            <w:shd w:val="clear" w:color="auto" w:fill="DEEAF6" w:themeFill="accent1" w:themeFillTint="33"/>
          </w:tcPr>
          <w:p w:rsidR="006B0839" w:rsidRPr="00FC4103" w:rsidRDefault="006B0839" w:rsidP="0066442B">
            <w:pPr>
              <w:rPr>
                <w:rFonts w:asciiTheme="minorHAnsi" w:hAnsiTheme="minorHAnsi" w:cs="Arial"/>
              </w:rPr>
            </w:pPr>
            <w:r w:rsidRPr="00FC4103">
              <w:rPr>
                <w:rFonts w:asciiTheme="minorHAnsi" w:hAnsiTheme="minorHAnsi" w:cs="Arial"/>
              </w:rPr>
              <w:t>70% of all enforcement cases progressed to target conclusion within 39 weeks of receipt of complaint.</w:t>
            </w:r>
          </w:p>
        </w:tc>
      </w:tr>
    </w:tbl>
    <w:p w:rsidR="00223C50" w:rsidRDefault="00223C50"/>
    <w:sectPr w:rsidR="00223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39"/>
    <w:rsid w:val="00223C50"/>
    <w:rsid w:val="006B0839"/>
    <w:rsid w:val="00AE0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DC2E9-2157-47F1-8688-474AB4E3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8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85C82204</Template>
  <TotalTime>15</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Lisburn Castlereagh City Council</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Kerrie-Anne McKibbin</dc:creator>
  <cp:keywords/>
  <dc:description/>
  <cp:lastModifiedBy>Kerrie-Anne McKibbin</cp:lastModifiedBy>
  <cp:revision>1</cp:revision>
  <dcterms:created xsi:type="dcterms:W3CDTF">2022-01-25T13:18:00Z</dcterms:created>
  <dcterms:modified xsi:type="dcterms:W3CDTF">2022-01-25T13:19:00Z</dcterms:modified>
</cp:coreProperties>
</file>